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267" w:rsidRPr="003F0267" w:rsidRDefault="003F0267" w:rsidP="003F0267">
      <w:pPr>
        <w:spacing w:after="120" w:line="240" w:lineRule="auto"/>
        <w:jc w:val="center"/>
      </w:pPr>
      <w:r w:rsidRPr="003F0267">
        <w:t>NACD Event Highlights</w:t>
      </w:r>
    </w:p>
    <w:p w:rsidR="003F0267" w:rsidRPr="003F0267" w:rsidRDefault="005E36F1" w:rsidP="003F0267">
      <w:pPr>
        <w:spacing w:after="120" w:line="240" w:lineRule="auto"/>
        <w:jc w:val="center"/>
      </w:pPr>
      <w:r>
        <w:t>September 24</w:t>
      </w:r>
      <w:r w:rsidR="003F0267" w:rsidRPr="003F0267">
        <w:t>, 2010 Breakfast Event</w:t>
      </w:r>
    </w:p>
    <w:p w:rsidR="00544A52" w:rsidRDefault="005E36F1" w:rsidP="00544A52">
      <w:pPr>
        <w:spacing w:after="0" w:line="240" w:lineRule="auto"/>
        <w:jc w:val="center"/>
        <w:rPr>
          <w:i/>
        </w:rPr>
      </w:pPr>
      <w:r>
        <w:rPr>
          <w:i/>
        </w:rPr>
        <w:t xml:space="preserve">Corporate </w:t>
      </w:r>
      <w:r w:rsidR="00247A88">
        <w:rPr>
          <w:i/>
        </w:rPr>
        <w:t>G</w:t>
      </w:r>
      <w:r w:rsidR="00FF1435">
        <w:rPr>
          <w:i/>
        </w:rPr>
        <w:t>o</w:t>
      </w:r>
      <w:r w:rsidR="00247A88">
        <w:rPr>
          <w:i/>
        </w:rPr>
        <w:t xml:space="preserve">vernance in </w:t>
      </w:r>
      <w:r>
        <w:rPr>
          <w:i/>
        </w:rPr>
        <w:t xml:space="preserve">the Spotlight:  A Conversation with </w:t>
      </w:r>
    </w:p>
    <w:p w:rsidR="003F0267" w:rsidRPr="003F0267" w:rsidRDefault="005E36F1" w:rsidP="005F4823">
      <w:pPr>
        <w:spacing w:line="240" w:lineRule="auto"/>
        <w:jc w:val="center"/>
        <w:rPr>
          <w:i/>
        </w:rPr>
      </w:pPr>
      <w:r>
        <w:rPr>
          <w:i/>
        </w:rPr>
        <w:t xml:space="preserve">Bank of America </w:t>
      </w:r>
      <w:r w:rsidR="00544A52">
        <w:rPr>
          <w:i/>
        </w:rPr>
        <w:t xml:space="preserve">President and </w:t>
      </w:r>
      <w:r>
        <w:rPr>
          <w:i/>
        </w:rPr>
        <w:t>CEO Brian Moynihan</w:t>
      </w:r>
    </w:p>
    <w:p w:rsidR="005E36F1" w:rsidRPr="00AE5494" w:rsidRDefault="005E36F1" w:rsidP="005E36F1">
      <w:pPr>
        <w:rPr>
          <w:i/>
        </w:rPr>
      </w:pPr>
      <w:r w:rsidRPr="00AE5494">
        <w:rPr>
          <w:i/>
        </w:rPr>
        <w:t>“</w:t>
      </w:r>
      <w:r w:rsidR="00AE5494" w:rsidRPr="00AE5494">
        <w:rPr>
          <w:i/>
        </w:rPr>
        <w:t xml:space="preserve">Corporate executives tell me that, in the end, </w:t>
      </w:r>
      <w:r w:rsidR="00AE5494">
        <w:rPr>
          <w:i/>
        </w:rPr>
        <w:t xml:space="preserve">what is holding </w:t>
      </w:r>
      <w:r w:rsidR="00AE5494" w:rsidRPr="00AE5494">
        <w:rPr>
          <w:i/>
        </w:rPr>
        <w:t xml:space="preserve">the economy </w:t>
      </w:r>
      <w:r w:rsidR="00AE5494">
        <w:rPr>
          <w:i/>
        </w:rPr>
        <w:t>back is</w:t>
      </w:r>
      <w:r w:rsidR="003E5159">
        <w:rPr>
          <w:i/>
        </w:rPr>
        <w:t xml:space="preserve"> uncertainty – not </w:t>
      </w:r>
      <w:r w:rsidR="00AE5494" w:rsidRPr="00AE5494">
        <w:rPr>
          <w:i/>
        </w:rPr>
        <w:t>credit availability</w:t>
      </w:r>
      <w:r w:rsidR="003E5159">
        <w:rPr>
          <w:i/>
        </w:rPr>
        <w:t xml:space="preserve">, or a </w:t>
      </w:r>
      <w:r w:rsidR="00AE5494" w:rsidRPr="00AE5494">
        <w:rPr>
          <w:i/>
        </w:rPr>
        <w:t>lack of good ideas or places to invest.  Our most important job as business leaders in times like these is to provide the certainty we need to move forward, and certainty is a product of good corporate governance.</w:t>
      </w:r>
      <w:r w:rsidR="00AE5494">
        <w:rPr>
          <w:i/>
        </w:rPr>
        <w:t>”</w:t>
      </w:r>
      <w:r w:rsidR="00AE5494" w:rsidRPr="00AE5494">
        <w:rPr>
          <w:i/>
        </w:rPr>
        <w:t xml:space="preserve">  </w:t>
      </w:r>
    </w:p>
    <w:p w:rsidR="005E36F1" w:rsidRDefault="005E36F1" w:rsidP="005E36F1">
      <w:r>
        <w:t>—Brian Moynihan</w:t>
      </w:r>
      <w:r w:rsidR="00AE5494">
        <w:t xml:space="preserve">, </w:t>
      </w:r>
      <w:r w:rsidR="00544A52">
        <w:t xml:space="preserve">President and </w:t>
      </w:r>
      <w:r w:rsidR="00AE5494">
        <w:t>CEO, B</w:t>
      </w:r>
      <w:r>
        <w:t xml:space="preserve">ank of America </w:t>
      </w:r>
    </w:p>
    <w:p w:rsidR="00084FE7" w:rsidRPr="00084FE7" w:rsidRDefault="00A930E9" w:rsidP="00084FE7">
      <w:pPr>
        <w:pStyle w:val="ListParagraph"/>
        <w:numPr>
          <w:ilvl w:val="0"/>
          <w:numId w:val="20"/>
        </w:numPr>
        <w:spacing w:after="120"/>
        <w:contextualSpacing w:val="0"/>
        <w:rPr>
          <w:rFonts w:ascii="Calibri" w:eastAsia="Times New Roman" w:hAnsi="Calibri" w:cs="Times New Roman"/>
          <w:color w:val="000000"/>
          <w:sz w:val="24"/>
          <w:szCs w:val="24"/>
        </w:rPr>
      </w:pPr>
      <w:r w:rsidRPr="00084FE7">
        <w:rPr>
          <w:rFonts w:ascii="Calibri" w:eastAsia="Times New Roman" w:hAnsi="Calibri" w:cs="Times New Roman"/>
          <w:color w:val="000000"/>
          <w:sz w:val="24"/>
          <w:szCs w:val="24"/>
        </w:rPr>
        <w:t xml:space="preserve">How can corporate directors and CEOs help restore confidence in the American economic system when </w:t>
      </w:r>
      <w:r w:rsidR="000C2492" w:rsidRPr="00084FE7">
        <w:rPr>
          <w:rFonts w:ascii="Calibri" w:eastAsia="Times New Roman" w:hAnsi="Calibri" w:cs="Times New Roman"/>
          <w:color w:val="000000"/>
          <w:sz w:val="24"/>
          <w:szCs w:val="24"/>
        </w:rPr>
        <w:t xml:space="preserve">government looms larger in the boardroom than ever before?  </w:t>
      </w:r>
    </w:p>
    <w:p w:rsidR="00084FE7" w:rsidRPr="003E5159" w:rsidRDefault="00205C55" w:rsidP="00084FE7">
      <w:pPr>
        <w:pStyle w:val="ListParagraph"/>
        <w:numPr>
          <w:ilvl w:val="0"/>
          <w:numId w:val="20"/>
        </w:numPr>
        <w:spacing w:after="120"/>
        <w:contextualSpacing w:val="0"/>
        <w:rPr>
          <w:rFonts w:ascii="Calibri" w:eastAsia="Times New Roman" w:hAnsi="Calibri" w:cs="Times New Roman"/>
          <w:color w:val="000000"/>
          <w:sz w:val="24"/>
          <w:szCs w:val="24"/>
        </w:rPr>
      </w:pPr>
      <w:r w:rsidRPr="003E5159">
        <w:rPr>
          <w:rFonts w:ascii="Calibri" w:eastAsia="Times New Roman" w:hAnsi="Calibri" w:cs="Times New Roman"/>
          <w:color w:val="000000"/>
          <w:sz w:val="24"/>
          <w:szCs w:val="24"/>
        </w:rPr>
        <w:t xml:space="preserve">Will </w:t>
      </w:r>
      <w:r w:rsidR="000C2492" w:rsidRPr="003E5159">
        <w:rPr>
          <w:rFonts w:ascii="Calibri" w:eastAsia="Times New Roman" w:hAnsi="Calibri" w:cs="Times New Roman"/>
          <w:color w:val="000000"/>
          <w:sz w:val="24"/>
          <w:szCs w:val="24"/>
        </w:rPr>
        <w:t xml:space="preserve">the Dodd-Frank financial reform bill change </w:t>
      </w:r>
      <w:r w:rsidR="003E5159" w:rsidRPr="003E5159">
        <w:rPr>
          <w:rFonts w:ascii="Calibri" w:eastAsia="Times New Roman" w:hAnsi="Calibri" w:cs="Times New Roman"/>
          <w:color w:val="000000"/>
          <w:sz w:val="24"/>
          <w:szCs w:val="24"/>
        </w:rPr>
        <w:t xml:space="preserve">the definition and practice of </w:t>
      </w:r>
      <w:r w:rsidR="000C2492" w:rsidRPr="003E5159">
        <w:rPr>
          <w:rFonts w:ascii="Calibri" w:eastAsia="Times New Roman" w:hAnsi="Calibri" w:cs="Times New Roman"/>
          <w:color w:val="000000"/>
          <w:sz w:val="24"/>
          <w:szCs w:val="24"/>
        </w:rPr>
        <w:t>“good corporate governance</w:t>
      </w:r>
      <w:r w:rsidR="003E5159" w:rsidRPr="003E5159">
        <w:rPr>
          <w:rFonts w:ascii="Calibri" w:eastAsia="Times New Roman" w:hAnsi="Calibri" w:cs="Times New Roman"/>
          <w:color w:val="000000"/>
          <w:sz w:val="24"/>
          <w:szCs w:val="24"/>
        </w:rPr>
        <w:t>?</w:t>
      </w:r>
      <w:r w:rsidR="000C2492" w:rsidRPr="003E5159">
        <w:rPr>
          <w:rFonts w:ascii="Calibri" w:eastAsia="Times New Roman" w:hAnsi="Calibri" w:cs="Times New Roman"/>
          <w:color w:val="000000"/>
          <w:sz w:val="24"/>
          <w:szCs w:val="24"/>
        </w:rPr>
        <w:t xml:space="preserve">” </w:t>
      </w:r>
    </w:p>
    <w:p w:rsidR="00084FE7" w:rsidRPr="00084FE7" w:rsidRDefault="00084FE7" w:rsidP="00084FE7">
      <w:pPr>
        <w:pStyle w:val="ListParagraph"/>
        <w:numPr>
          <w:ilvl w:val="0"/>
          <w:numId w:val="20"/>
        </w:numPr>
        <w:contextualSpacing w:val="0"/>
        <w:rPr>
          <w:rFonts w:ascii="Calibri" w:eastAsia="Times New Roman" w:hAnsi="Calibri" w:cs="Times New Roman"/>
          <w:color w:val="000000"/>
          <w:sz w:val="24"/>
          <w:szCs w:val="24"/>
        </w:rPr>
      </w:pPr>
      <w:r w:rsidRPr="003E5159">
        <w:rPr>
          <w:rFonts w:ascii="Calibri" w:eastAsia="Times New Roman" w:hAnsi="Calibri" w:cs="Times New Roman"/>
          <w:color w:val="000000"/>
          <w:sz w:val="24"/>
          <w:szCs w:val="24"/>
        </w:rPr>
        <w:t xml:space="preserve">What will it take to attract the </w:t>
      </w:r>
      <w:r w:rsidR="00E065F0" w:rsidRPr="003E5159">
        <w:rPr>
          <w:rFonts w:ascii="Calibri" w:eastAsia="Times New Roman" w:hAnsi="Calibri" w:cs="Times New Roman"/>
          <w:color w:val="000000"/>
          <w:sz w:val="24"/>
          <w:szCs w:val="24"/>
        </w:rPr>
        <w:t xml:space="preserve">next generation of directors in </w:t>
      </w:r>
      <w:r w:rsidRPr="003E5159">
        <w:rPr>
          <w:rFonts w:ascii="Calibri" w:eastAsia="Times New Roman" w:hAnsi="Calibri" w:cs="Times New Roman"/>
          <w:color w:val="000000"/>
          <w:sz w:val="24"/>
          <w:szCs w:val="24"/>
        </w:rPr>
        <w:t xml:space="preserve">these </w:t>
      </w:r>
      <w:r w:rsidR="00E065F0" w:rsidRPr="003E5159">
        <w:rPr>
          <w:rFonts w:ascii="Calibri" w:eastAsia="Times New Roman" w:hAnsi="Calibri" w:cs="Times New Roman"/>
          <w:color w:val="000000"/>
          <w:sz w:val="24"/>
          <w:szCs w:val="24"/>
        </w:rPr>
        <w:t xml:space="preserve">times of uncertainty and elevated risk?  </w:t>
      </w:r>
    </w:p>
    <w:p w:rsidR="005E36F1" w:rsidRPr="00084FE7" w:rsidRDefault="005E36F1" w:rsidP="00084FE7">
      <w:pPr>
        <w:rPr>
          <w:rFonts w:ascii="Times New Roman" w:eastAsia="Times New Roman" w:hAnsi="Times New Roman" w:cs="Times New Roman"/>
          <w:color w:val="000000"/>
          <w:sz w:val="24"/>
          <w:szCs w:val="24"/>
        </w:rPr>
      </w:pPr>
      <w:r w:rsidRPr="00084FE7">
        <w:rPr>
          <w:rFonts w:ascii="Calibri" w:eastAsia="Times New Roman" w:hAnsi="Calibri" w:cs="Times New Roman"/>
          <w:color w:val="000000"/>
          <w:sz w:val="24"/>
          <w:szCs w:val="24"/>
        </w:rPr>
        <w:t xml:space="preserve">Brian Moynihan, </w:t>
      </w:r>
      <w:r w:rsidR="00544A52">
        <w:rPr>
          <w:rFonts w:ascii="Calibri" w:eastAsia="Times New Roman" w:hAnsi="Calibri" w:cs="Times New Roman"/>
          <w:color w:val="000000"/>
          <w:sz w:val="24"/>
          <w:szCs w:val="24"/>
        </w:rPr>
        <w:t xml:space="preserve">President and </w:t>
      </w:r>
      <w:r w:rsidRPr="00084FE7">
        <w:rPr>
          <w:rFonts w:ascii="Calibri" w:eastAsia="Times New Roman" w:hAnsi="Calibri" w:cs="Times New Roman"/>
          <w:color w:val="000000"/>
          <w:sz w:val="24"/>
          <w:szCs w:val="24"/>
        </w:rPr>
        <w:t xml:space="preserve">CEO of Bank of America, keynoted a panel of veteran chapter members to discuss these </w:t>
      </w:r>
      <w:r w:rsidR="000C2492" w:rsidRPr="00084FE7">
        <w:rPr>
          <w:rFonts w:ascii="Calibri" w:eastAsia="Times New Roman" w:hAnsi="Calibri" w:cs="Times New Roman"/>
          <w:color w:val="000000"/>
          <w:sz w:val="24"/>
          <w:szCs w:val="24"/>
        </w:rPr>
        <w:t xml:space="preserve">crucial </w:t>
      </w:r>
      <w:r w:rsidR="00084FE7">
        <w:rPr>
          <w:rFonts w:ascii="Calibri" w:eastAsia="Times New Roman" w:hAnsi="Calibri" w:cs="Times New Roman"/>
          <w:color w:val="000000"/>
          <w:sz w:val="24"/>
          <w:szCs w:val="24"/>
        </w:rPr>
        <w:t>b</w:t>
      </w:r>
      <w:r w:rsidR="000C2492" w:rsidRPr="00084FE7">
        <w:rPr>
          <w:rFonts w:ascii="Calibri" w:eastAsia="Times New Roman" w:hAnsi="Calibri" w:cs="Times New Roman"/>
          <w:color w:val="000000"/>
          <w:sz w:val="24"/>
          <w:szCs w:val="24"/>
        </w:rPr>
        <w:t xml:space="preserve">oard leadership </w:t>
      </w:r>
      <w:r w:rsidRPr="00084FE7">
        <w:rPr>
          <w:rFonts w:ascii="Calibri" w:eastAsia="Times New Roman" w:hAnsi="Calibri" w:cs="Times New Roman"/>
          <w:color w:val="000000"/>
          <w:sz w:val="24"/>
          <w:szCs w:val="24"/>
        </w:rPr>
        <w:t xml:space="preserve">issues </w:t>
      </w:r>
      <w:r w:rsidR="000C2492" w:rsidRPr="00084FE7">
        <w:rPr>
          <w:rFonts w:ascii="Calibri" w:eastAsia="Times New Roman" w:hAnsi="Calibri" w:cs="Times New Roman"/>
          <w:color w:val="000000"/>
          <w:sz w:val="24"/>
          <w:szCs w:val="24"/>
        </w:rPr>
        <w:t>as</w:t>
      </w:r>
      <w:r w:rsidRPr="00084FE7">
        <w:rPr>
          <w:rFonts w:ascii="Calibri" w:eastAsia="Times New Roman" w:hAnsi="Calibri" w:cs="Times New Roman"/>
          <w:color w:val="000000"/>
          <w:sz w:val="24"/>
          <w:szCs w:val="24"/>
        </w:rPr>
        <w:t xml:space="preserve"> NACD New England’s popular series of monthly Breakfast Events kicked off a new year</w:t>
      </w:r>
      <w:r w:rsidR="00E065F0" w:rsidRPr="00084FE7">
        <w:rPr>
          <w:rFonts w:ascii="Calibri" w:eastAsia="Times New Roman" w:hAnsi="Calibri" w:cs="Times New Roman"/>
          <w:color w:val="000000"/>
          <w:sz w:val="24"/>
          <w:szCs w:val="24"/>
        </w:rPr>
        <w:t xml:space="preserve"> on September 24th</w:t>
      </w:r>
      <w:r w:rsidRPr="00084FE7">
        <w:rPr>
          <w:rFonts w:ascii="Calibri" w:eastAsia="Times New Roman" w:hAnsi="Calibri" w:cs="Times New Roman"/>
          <w:color w:val="000000"/>
          <w:sz w:val="24"/>
          <w:szCs w:val="24"/>
        </w:rPr>
        <w:t xml:space="preserve">.  </w:t>
      </w:r>
    </w:p>
    <w:p w:rsidR="005E36F1" w:rsidRDefault="00084FE7" w:rsidP="000A3A0A">
      <w:r>
        <w:t>Opening the event with prepared remarks, Moynihan summarized the latest Bank of America economic forecasts, predict</w:t>
      </w:r>
      <w:r w:rsidR="003E5159">
        <w:t>ing</w:t>
      </w:r>
      <w:r>
        <w:t xml:space="preserve"> an economy that continues to “plug along” on a slow but steady growth track over the next couple of years.   He shared insights drawn from recent conversations with CEOs in the U.S. and abroad.  Although the backdrop is uncertainty and soft final demand for products and services, companies are taking advantage of low rates to reduce their cost of debt</w:t>
      </w:r>
      <w:r w:rsidR="003E5159">
        <w:t>, he said</w:t>
      </w:r>
      <w:r>
        <w:t>.  Personal and corporate balance sheets are slowly being repaired, he observed, calling on governments to address growing deficits and take action to rebuild public balance sheets.</w:t>
      </w:r>
    </w:p>
    <w:p w:rsidR="003E5159" w:rsidRDefault="00BC2E7F" w:rsidP="000A3A0A">
      <w:r>
        <w:t xml:space="preserve">Moynihan then commented on the recently enacted Dodd-Frank financial reform bill, focusing first on its implications for Bank of America and the other large financial institutions that survived the </w:t>
      </w:r>
      <w:r w:rsidR="003E5159">
        <w:t xml:space="preserve">2008 </w:t>
      </w:r>
      <w:r>
        <w:t xml:space="preserve">financial crisis.  He cited the new law’s treatment of derivatives, securities trading, systemic risk and consumer protection as areas of likely engagement for the Bank of America board </w:t>
      </w:r>
      <w:r w:rsidR="003E5159">
        <w:t xml:space="preserve">and those of other major financial institutions </w:t>
      </w:r>
      <w:r>
        <w:t xml:space="preserve">going forward.  </w:t>
      </w:r>
    </w:p>
    <w:p w:rsidR="00307B6B" w:rsidRDefault="00BC2E7F" w:rsidP="000A3A0A">
      <w:r>
        <w:t xml:space="preserve">He then talked more generally about the potential corporate governance impacts of the </w:t>
      </w:r>
      <w:r w:rsidR="003E5159">
        <w:t xml:space="preserve">Dodd-Frank bill </w:t>
      </w:r>
      <w:r>
        <w:t>in areas including proxy access, the establishment of risk committees and executive compensation.</w:t>
      </w:r>
      <w:r w:rsidR="00887D8A">
        <w:t xml:space="preserve">  </w:t>
      </w:r>
      <w:r w:rsidR="003E5159">
        <w:t xml:space="preserve">Moynihan </w:t>
      </w:r>
      <w:r w:rsidR="00887D8A">
        <w:t>expressed concern about the length of time it</w:t>
      </w:r>
      <w:r w:rsidR="003E5159">
        <w:t xml:space="preserve"> may </w:t>
      </w:r>
      <w:r w:rsidR="00887D8A">
        <w:t xml:space="preserve">take the relevant government agencies to promulgate rules in these areas, and the prolonged uncertainty that </w:t>
      </w:r>
      <w:r w:rsidR="003E5159">
        <w:t>could</w:t>
      </w:r>
      <w:r w:rsidR="00887D8A">
        <w:t xml:space="preserve"> result.  </w:t>
      </w:r>
      <w:r w:rsidR="003E5159">
        <w:t xml:space="preserve">He said that uncertainty among business leaders is slowing the economic recovery, and that corporate directors should consider restoring certainty their most important priority.  Moynihan concluded by discussing how good corporate governance can lead to a higher level of certainty, highlighting the importance of good judgment and accountability to shareholders and other constituents.        </w:t>
      </w:r>
    </w:p>
    <w:p w:rsidR="005E36F1" w:rsidRDefault="003E5159" w:rsidP="000A3A0A">
      <w:r>
        <w:t xml:space="preserve">Following Moynihan’s remarks, NACD New England </w:t>
      </w:r>
      <w:r w:rsidRPr="00E17445">
        <w:t>Chapter</w:t>
      </w:r>
      <w:r>
        <w:t xml:space="preserve"> President Bill Earon moderated a panel discussion and question-and-answer session that amplified the theme of “restoring certainty in uncertain times.”  Serving on the panel, along with Moynihan, were </w:t>
      </w:r>
      <w:r w:rsidR="00544A52">
        <w:t xml:space="preserve">Paula H. J. Cholmondeley, Robert E. Hallagan and R. Robert Popeo.  Cholmondeley currently serves on the boards of four publicly traded corporations and has extensive experience as a corporate executive.  A recognized expert in board governance, Hallagan is vice chairman and managing director, Board and CEO Services, and managing director of Korn/Ferry International.  Popeo serves as chairman of the law firm of Mintz Levin and, in addition to a distinguished legal career, is a </w:t>
      </w:r>
      <w:r w:rsidR="0055559F">
        <w:t xml:space="preserve">member of the NACD New England board of directors and </w:t>
      </w:r>
      <w:r w:rsidR="00544A52">
        <w:t xml:space="preserve">past </w:t>
      </w:r>
      <w:r w:rsidR="00B23812">
        <w:t>master of ceremonies of NACD’s Director of the Year Awards event.</w:t>
      </w:r>
      <w:r w:rsidR="00544A52">
        <w:t xml:space="preserve">  </w:t>
      </w:r>
    </w:p>
    <w:p w:rsidR="00DD69AF" w:rsidRDefault="00DD69AF" w:rsidP="00DD69AF">
      <w:pPr>
        <w:spacing w:after="120"/>
      </w:pPr>
      <w:r w:rsidRPr="00D173EB">
        <w:t xml:space="preserve">Questions </w:t>
      </w:r>
      <w:r>
        <w:t xml:space="preserve">and issues discussed by the panel included: </w:t>
      </w:r>
    </w:p>
    <w:p w:rsidR="00DD69AF" w:rsidRDefault="00DD69AF" w:rsidP="00DD69AF">
      <w:pPr>
        <w:pStyle w:val="ListParagraph"/>
        <w:numPr>
          <w:ilvl w:val="0"/>
          <w:numId w:val="16"/>
        </w:numPr>
        <w:spacing w:after="120"/>
        <w:contextualSpacing w:val="0"/>
      </w:pPr>
      <w:r>
        <w:t xml:space="preserve">Pros and cons of separating the roles of Chairman and CEO; </w:t>
      </w:r>
    </w:p>
    <w:p w:rsidR="00DD69AF" w:rsidRDefault="00DD69AF" w:rsidP="00DD69AF">
      <w:pPr>
        <w:pStyle w:val="ListParagraph"/>
        <w:numPr>
          <w:ilvl w:val="0"/>
          <w:numId w:val="16"/>
        </w:numPr>
        <w:spacing w:after="120"/>
        <w:contextualSpacing w:val="0"/>
      </w:pPr>
      <w:r>
        <w:t>Attracting qualified directors to board service – opportunities and constraints;</w:t>
      </w:r>
    </w:p>
    <w:p w:rsidR="00DD69AF" w:rsidRDefault="00DD69AF" w:rsidP="00DD69AF">
      <w:pPr>
        <w:pStyle w:val="ListParagraph"/>
        <w:numPr>
          <w:ilvl w:val="0"/>
          <w:numId w:val="16"/>
        </w:numPr>
        <w:spacing w:after="120"/>
        <w:contextualSpacing w:val="0"/>
      </w:pPr>
      <w:r>
        <w:t xml:space="preserve">Board and management ownership of corporate stock; </w:t>
      </w:r>
    </w:p>
    <w:p w:rsidR="00DD69AF" w:rsidRDefault="00DD69AF" w:rsidP="00DD69AF">
      <w:pPr>
        <w:pStyle w:val="ListParagraph"/>
        <w:numPr>
          <w:ilvl w:val="0"/>
          <w:numId w:val="16"/>
        </w:numPr>
        <w:spacing w:after="120"/>
        <w:contextualSpacing w:val="0"/>
      </w:pPr>
      <w:r>
        <w:t>Roles of directors and management in mergers and acquisitions;</w:t>
      </w:r>
    </w:p>
    <w:p w:rsidR="00DD69AF" w:rsidRDefault="00DD69AF" w:rsidP="00DD69AF">
      <w:pPr>
        <w:pStyle w:val="ListParagraph"/>
        <w:numPr>
          <w:ilvl w:val="0"/>
          <w:numId w:val="16"/>
        </w:numPr>
        <w:spacing w:after="120"/>
        <w:contextualSpacing w:val="0"/>
      </w:pPr>
      <w:r>
        <w:t xml:space="preserve">New proxy access, “say on pay” and executive compensation </w:t>
      </w:r>
      <w:proofErr w:type="spellStart"/>
      <w:r>
        <w:t>clawback</w:t>
      </w:r>
      <w:proofErr w:type="spellEnd"/>
      <w:r>
        <w:t xml:space="preserve"> rules in the Dodd-Frank financial reform legislation;</w:t>
      </w:r>
    </w:p>
    <w:p w:rsidR="00DD69AF" w:rsidRDefault="00DD69AF" w:rsidP="00DD69AF">
      <w:pPr>
        <w:pStyle w:val="ListParagraph"/>
        <w:numPr>
          <w:ilvl w:val="0"/>
          <w:numId w:val="16"/>
        </w:numPr>
        <w:spacing w:after="120"/>
        <w:contextualSpacing w:val="0"/>
      </w:pPr>
      <w:r>
        <w:t>Board reliance on outside experts; and</w:t>
      </w:r>
    </w:p>
    <w:p w:rsidR="00DD69AF" w:rsidRDefault="00DD69AF" w:rsidP="005B0BEC">
      <w:pPr>
        <w:pStyle w:val="ListParagraph"/>
        <w:numPr>
          <w:ilvl w:val="0"/>
          <w:numId w:val="16"/>
        </w:numPr>
        <w:contextualSpacing w:val="0"/>
      </w:pPr>
      <w:r>
        <w:t>Strategy development – roles of directors and executive management.</w:t>
      </w:r>
    </w:p>
    <w:p w:rsidR="00CD4A0F" w:rsidRPr="00CD4A0F" w:rsidRDefault="00CD4A0F" w:rsidP="00CD4A0F">
      <w:r w:rsidRPr="00CD4A0F">
        <w:t>One of the most intensely discussed topics was the whistleblowers provision of the Dodd-Frank, something that Popeo and Cholmondeley feels goes too far.</w:t>
      </w:r>
    </w:p>
    <w:p w:rsidR="00CD4A0F" w:rsidRPr="00CD4A0F" w:rsidRDefault="00CD4A0F" w:rsidP="00CD4A0F">
      <w:r w:rsidRPr="00CD4A0F">
        <w:t>"This is one of the worst provisions of the Dodd-Frank Act," said Popeo. "Corporations have spent hundreds of thousands of dollars on internal controls and corporate compliance programs and countless hours on training, implementing and creating a culture of good citizenship.  With this provision the Act creates incentives for employees not to advise management of improper conduct, inadequacies in internal controls or illegal behavior."</w:t>
      </w:r>
    </w:p>
    <w:p w:rsidR="00CD4A0F" w:rsidRPr="00CD4A0F" w:rsidRDefault="00CD4A0F" w:rsidP="00CD4A0F"/>
    <w:p w:rsidR="00CD4A0F" w:rsidRPr="00CD4A0F" w:rsidRDefault="00CD4A0F" w:rsidP="00CD4A0F">
      <w:r w:rsidRPr="00CD4A0F">
        <w:t xml:space="preserve">The Dodd-Frank Act provides a "bounty" for any employee that provides the SEC with information about its employer that implicates the company on corporate wrongdoing. Cholmondeley says that employing such practices would undermine the exact practices and provisions that were originally put into play in Sarbanes-Oxley. </w:t>
      </w:r>
    </w:p>
    <w:p w:rsidR="00CD4A0F" w:rsidRPr="00CD4A0F" w:rsidRDefault="00CD4A0F" w:rsidP="00CD4A0F">
      <w:r w:rsidRPr="00CD4A0F">
        <w:t xml:space="preserve">"Because of Sarbanes-Oxley, more companies have put resources into educating their employees about the compliance and regulatory rules that the corporation is subject to," said Cholmondeley. "Shareholder value is tied to how your investor sees you in the marketplace. </w:t>
      </w:r>
    </w:p>
    <w:p w:rsidR="00CD4A0F" w:rsidRPr="00CD4A0F" w:rsidRDefault="00CD4A0F" w:rsidP="00CD4A0F">
      <w:r w:rsidRPr="00CD4A0F">
        <w:t>Cholmondeley also pointed to the massive costs associated with an SEC investigation, which further erodes the company's bottom line and negatively impacts the shareholders.</w:t>
      </w:r>
    </w:p>
    <w:p w:rsidR="00CD4A0F" w:rsidRPr="00CD4A0F" w:rsidRDefault="00CD4A0F" w:rsidP="00CD4A0F">
      <w:r w:rsidRPr="00CD4A0F">
        <w:t>"Very often the cost to pursue an investigation internally is one amount; the cost to respond to an SEC inquiry is that amount to the power of five," Cholmondeley noted. "If you're going to spend a couple of million dollars serving up documents to the SEC, that's money that's not on the bottom line."</w:t>
      </w:r>
    </w:p>
    <w:p w:rsidR="00CD4A0F" w:rsidRPr="00CD4A0F" w:rsidRDefault="00CD4A0F" w:rsidP="00CD4A0F">
      <w:r w:rsidRPr="00CD4A0F">
        <w:t xml:space="preserve">Popeo notes that the Act also provides a dangerous level of protection for the employee that bring forward corporate wrongdoing to the SEC, further muddying the waters when it comes to potentially unfounded claims. </w:t>
      </w:r>
    </w:p>
    <w:p w:rsidR="00CD4A0F" w:rsidRDefault="00CD4A0F" w:rsidP="00CD4A0F">
      <w:r w:rsidRPr="00CD4A0F">
        <w:t>"The Act also creates a private right of action for whistleblowers against employers who are accused of retaliation against the employer by subjecting the employer to potential liability for reinstatement, back pay, litigation costs and attorneys’ fees," said Popeo. "This presents a serious dilemma for employers who seek to take action against an employee who makes unfounded allegations and by passes the compliance system."</w:t>
      </w:r>
    </w:p>
    <w:p w:rsidR="00F17FBF" w:rsidRDefault="00F17FBF" w:rsidP="00CD4A0F">
      <w:r>
        <w:t>A few other questions raise issues of note:</w:t>
      </w:r>
    </w:p>
    <w:p w:rsidR="00F17FBF" w:rsidRDefault="00F17FBF" w:rsidP="00F17FBF">
      <w:pPr>
        <w:rPr>
          <w:color w:val="000000"/>
        </w:rPr>
      </w:pPr>
      <w:r w:rsidRPr="00F17FBF">
        <w:rPr>
          <w:b/>
          <w:color w:val="000000"/>
        </w:rPr>
        <w:t>Bill Earon</w:t>
      </w:r>
      <w:r>
        <w:rPr>
          <w:color w:val="000000"/>
        </w:rPr>
        <w:t xml:space="preserve"> – Many shareholders and corporate governance advocates are encouraging large corporations to consider splitting the roles of chairman and CEO. Do you think this is a wise shift?</w:t>
      </w:r>
    </w:p>
    <w:p w:rsidR="00F17FBF" w:rsidRDefault="00F17FBF" w:rsidP="00F17FBF">
      <w:pPr>
        <w:rPr>
          <w:color w:val="000000"/>
        </w:rPr>
      </w:pPr>
      <w:r>
        <w:rPr>
          <w:b/>
          <w:bCs/>
          <w:color w:val="000000"/>
        </w:rPr>
        <w:t xml:space="preserve">Paula </w:t>
      </w:r>
      <w:r>
        <w:rPr>
          <w:b/>
          <w:bCs/>
        </w:rPr>
        <w:t>Cholmondeley</w:t>
      </w:r>
      <w:r>
        <w:rPr>
          <w:b/>
          <w:bCs/>
          <w:color w:val="000000"/>
        </w:rPr>
        <w:t xml:space="preserve"> – </w:t>
      </w:r>
      <w:r>
        <w:rPr>
          <w:color w:val="000000"/>
        </w:rPr>
        <w:t xml:space="preserve">I don’t think there is one right answer – </w:t>
      </w:r>
      <w:r>
        <w:t>it is company specific.  The decision is a matter of what increases value for the shareholder.  While some countries have mandated this split model, there is no proof that the split impacts performance.  U.S. investors need to open to the right business model and match the roles to the model that will increase value.</w:t>
      </w:r>
    </w:p>
    <w:p w:rsidR="00F17FBF" w:rsidRDefault="00F17FBF" w:rsidP="00F17FBF">
      <w:r w:rsidRPr="00F17FBF">
        <w:rPr>
          <w:b/>
          <w:color w:val="000000"/>
        </w:rPr>
        <w:t>Bill Earon</w:t>
      </w:r>
      <w:r>
        <w:rPr>
          <w:color w:val="000000"/>
        </w:rPr>
        <w:t xml:space="preserve"> – </w:t>
      </w:r>
      <w:r>
        <w:t>In today’s environment where investors are very focused on pay for performance, how should companies think about who is their peer group for performance and compensation purposes?</w:t>
      </w:r>
    </w:p>
    <w:p w:rsidR="00F17FBF" w:rsidRDefault="00F17FBF" w:rsidP="00F17FBF">
      <w:r>
        <w:rPr>
          <w:b/>
          <w:bCs/>
          <w:color w:val="000000"/>
        </w:rPr>
        <w:t xml:space="preserve">Paula </w:t>
      </w:r>
      <w:r>
        <w:rPr>
          <w:b/>
          <w:bCs/>
        </w:rPr>
        <w:t>Cholmondeley</w:t>
      </w:r>
      <w:r>
        <w:rPr>
          <w:b/>
          <w:bCs/>
          <w:color w:val="000000"/>
        </w:rPr>
        <w:t xml:space="preserve"> – </w:t>
      </w:r>
      <w:r>
        <w:rPr>
          <w:color w:val="000000"/>
        </w:rPr>
        <w:t xml:space="preserve">Boards needs to look closely at the definition of their peer group through the eyes of their investors and shareholders.  Who do they compare your performance to when they consider investing?  Many companies use too broad or too narrow definition of their peers that do not match the investor perspective that will impact </w:t>
      </w:r>
      <w:r>
        <w:t>their views on compensation, investment and the potential for shareholder issues.</w:t>
      </w:r>
      <w:r>
        <w:rPr>
          <w:color w:val="000000"/>
        </w:rPr>
        <w:t xml:space="preserve">  </w:t>
      </w:r>
      <w:r>
        <w:t>However, when the companies get very large, then the real comparison pool is very small and consists of other very large corporations regardless of industry.</w:t>
      </w:r>
    </w:p>
    <w:p w:rsidR="00F17FBF" w:rsidRPr="00F17FBF" w:rsidRDefault="00F17FBF" w:rsidP="00F17FBF">
      <w:pPr>
        <w:pStyle w:val="freeform"/>
        <w:spacing w:before="0" w:beforeAutospacing="0" w:after="0" w:afterAutospacing="0"/>
        <w:rPr>
          <w:rFonts w:asciiTheme="minorHAnsi" w:hAnsiTheme="minorHAnsi" w:cstheme="minorBidi"/>
          <w:sz w:val="22"/>
          <w:szCs w:val="22"/>
        </w:rPr>
      </w:pPr>
      <w:r w:rsidRPr="00F17FBF">
        <w:rPr>
          <w:rFonts w:asciiTheme="minorHAnsi" w:hAnsiTheme="minorHAnsi" w:cstheme="minorBidi"/>
          <w:b/>
          <w:bCs/>
          <w:color w:val="000000"/>
          <w:sz w:val="22"/>
          <w:szCs w:val="22"/>
        </w:rPr>
        <w:t>Bill Earon</w:t>
      </w:r>
      <w:r>
        <w:rPr>
          <w:color w:val="000000"/>
        </w:rPr>
        <w:t xml:space="preserve"> – </w:t>
      </w:r>
      <w:r w:rsidRPr="00F17FBF">
        <w:rPr>
          <w:rFonts w:asciiTheme="minorHAnsi" w:hAnsiTheme="minorHAnsi" w:cstheme="minorBidi"/>
          <w:sz w:val="22"/>
          <w:szCs w:val="22"/>
        </w:rPr>
        <w:t xml:space="preserve">On the topic of increased compensation disclosures, do companies have the qualified staff needed to explain pay well? </w:t>
      </w:r>
    </w:p>
    <w:p w:rsidR="00F17FBF" w:rsidRDefault="00F17FBF" w:rsidP="00F17FBF">
      <w:pPr>
        <w:rPr>
          <w:rFonts w:ascii="Calibri" w:hAnsi="Calibri" w:cs="Calibri"/>
        </w:rPr>
      </w:pPr>
      <w:r>
        <w:rPr>
          <w:b/>
          <w:bCs/>
        </w:rPr>
        <w:t>R. Robert Popeo</w:t>
      </w:r>
      <w:r>
        <w:t xml:space="preserve"> - This provision includes both pay for performance disclosures as well as pay parity disclosures.  The calculations are likely to be challenging, time consuming and expensive.  How much corresponding benefit shareholders will receive remains to be seen.  Since the Act does not specify the method or presentations or the scope of the disclosure, companies will have to await the SEC Rules for guidance.  </w:t>
      </w:r>
    </w:p>
    <w:p w:rsidR="00F17FBF" w:rsidRDefault="00F17FBF" w:rsidP="00F17FBF"/>
    <w:p w:rsidR="00F17FBF" w:rsidRDefault="00F17FBF" w:rsidP="00F17FBF"/>
    <w:p w:rsidR="00F17FBF" w:rsidRPr="00CD4A0F" w:rsidRDefault="00F17FBF" w:rsidP="00CD4A0F"/>
    <w:p w:rsidR="005B0BEC" w:rsidRPr="003F0267" w:rsidRDefault="005B0BEC" w:rsidP="005B0BEC">
      <w:pPr>
        <w:spacing w:before="240"/>
      </w:pPr>
      <w:r w:rsidRPr="00E17445">
        <w:t>Chapter</w:t>
      </w:r>
      <w:r>
        <w:t xml:space="preserve"> President Earon </w:t>
      </w:r>
      <w:r w:rsidRPr="00E17445">
        <w:t xml:space="preserve">adjourned </w:t>
      </w:r>
      <w:r>
        <w:t>the September 24</w:t>
      </w:r>
      <w:r w:rsidRPr="005B0BEC">
        <w:rPr>
          <w:vertAlign w:val="superscript"/>
        </w:rPr>
        <w:t>th</w:t>
      </w:r>
      <w:r>
        <w:t xml:space="preserve"> program with a reminder about the next NACD New England Chapter Breakfast Event on Tuesday, October 12, 2010:  </w:t>
      </w:r>
      <w:r w:rsidRPr="005B0BEC">
        <w:rPr>
          <w:i/>
        </w:rPr>
        <w:t xml:space="preserve">The Next Challenge for Compensation Committees – Ensuring Pay and Performance Alignment in 2011 and Beyond.  </w:t>
      </w:r>
      <w:r>
        <w:t xml:space="preserve">The event will be held at the Langham Hotel, 250 Franklin Street, Boston.  </w:t>
      </w:r>
    </w:p>
    <w:sectPr w:rsidR="005B0BEC" w:rsidRPr="003F0267" w:rsidSect="003702CE">
      <w:footerReference w:type="default" r:id="rId8"/>
      <w:pgSz w:w="12240" w:h="15840"/>
      <w:pgMar w:top="1440" w:right="1440" w:bottom="1440" w:left="144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5A3" w:rsidRDefault="007765A3" w:rsidP="003702CE">
      <w:pPr>
        <w:spacing w:after="0" w:line="240" w:lineRule="auto"/>
      </w:pPr>
      <w:r>
        <w:separator/>
      </w:r>
    </w:p>
  </w:endnote>
  <w:endnote w:type="continuationSeparator" w:id="0">
    <w:p w:rsidR="007765A3" w:rsidRDefault="007765A3" w:rsidP="003702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595079"/>
      <w:docPartObj>
        <w:docPartGallery w:val="Page Numbers (Bottom of Page)"/>
        <w:docPartUnique/>
      </w:docPartObj>
    </w:sdtPr>
    <w:sdtContent>
      <w:p w:rsidR="00B23812" w:rsidRDefault="00C07AFA">
        <w:pPr>
          <w:pStyle w:val="Footer"/>
          <w:jc w:val="center"/>
        </w:pPr>
        <w:fldSimple w:instr=" PAGE   \* MERGEFORMAT ">
          <w:r w:rsidR="006251FF">
            <w:rPr>
              <w:noProof/>
            </w:rPr>
            <w:t>4</w:t>
          </w:r>
        </w:fldSimple>
      </w:p>
    </w:sdtContent>
  </w:sdt>
  <w:p w:rsidR="00B23812" w:rsidRDefault="00B2381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5A3" w:rsidRDefault="007765A3" w:rsidP="003702CE">
      <w:pPr>
        <w:spacing w:after="0" w:line="240" w:lineRule="auto"/>
      </w:pPr>
      <w:r>
        <w:separator/>
      </w:r>
    </w:p>
  </w:footnote>
  <w:footnote w:type="continuationSeparator" w:id="0">
    <w:p w:rsidR="007765A3" w:rsidRDefault="007765A3" w:rsidP="003702CE">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06B36"/>
    <w:multiLevelType w:val="hybridMultilevel"/>
    <w:tmpl w:val="7B04C538"/>
    <w:lvl w:ilvl="0" w:tplc="4C0E43A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4465B9"/>
    <w:multiLevelType w:val="hybridMultilevel"/>
    <w:tmpl w:val="3AAE6F1A"/>
    <w:lvl w:ilvl="0" w:tplc="9C5AB59A">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EAC51EF"/>
    <w:multiLevelType w:val="hybridMultilevel"/>
    <w:tmpl w:val="15F0F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F1939D3"/>
    <w:multiLevelType w:val="hybridMultilevel"/>
    <w:tmpl w:val="0162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876FE2"/>
    <w:multiLevelType w:val="hybridMultilevel"/>
    <w:tmpl w:val="10421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8E0E28"/>
    <w:multiLevelType w:val="hybridMultilevel"/>
    <w:tmpl w:val="6FC2F60E"/>
    <w:lvl w:ilvl="0" w:tplc="F6FCC7B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C32C48"/>
    <w:multiLevelType w:val="hybridMultilevel"/>
    <w:tmpl w:val="E362C6FC"/>
    <w:lvl w:ilvl="0" w:tplc="9C5AB59A">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9DC3EA4"/>
    <w:multiLevelType w:val="hybridMultilevel"/>
    <w:tmpl w:val="A2AA0236"/>
    <w:lvl w:ilvl="0" w:tplc="3D00B3D6">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A351ADF"/>
    <w:multiLevelType w:val="hybridMultilevel"/>
    <w:tmpl w:val="35C8B596"/>
    <w:lvl w:ilvl="0" w:tplc="4C0E43A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881281"/>
    <w:multiLevelType w:val="hybridMultilevel"/>
    <w:tmpl w:val="C9B23C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16F4AC3"/>
    <w:multiLevelType w:val="hybridMultilevel"/>
    <w:tmpl w:val="99B405E6"/>
    <w:lvl w:ilvl="0" w:tplc="41F01DD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285A60"/>
    <w:multiLevelType w:val="hybridMultilevel"/>
    <w:tmpl w:val="FB5C92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3441B60"/>
    <w:multiLevelType w:val="hybridMultilevel"/>
    <w:tmpl w:val="DF50B6A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F30954"/>
    <w:multiLevelType w:val="hybridMultilevel"/>
    <w:tmpl w:val="2340B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FCD7B23"/>
    <w:multiLevelType w:val="hybridMultilevel"/>
    <w:tmpl w:val="79786B66"/>
    <w:lvl w:ilvl="0" w:tplc="554A826A">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F61370"/>
    <w:multiLevelType w:val="hybridMultilevel"/>
    <w:tmpl w:val="E2F2E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6237E4"/>
    <w:multiLevelType w:val="hybridMultilevel"/>
    <w:tmpl w:val="BEE6F3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45542B6"/>
    <w:multiLevelType w:val="hybridMultilevel"/>
    <w:tmpl w:val="BDC01C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2C19FD"/>
    <w:multiLevelType w:val="hybridMultilevel"/>
    <w:tmpl w:val="70F25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8D61F8"/>
    <w:multiLevelType w:val="hybridMultilevel"/>
    <w:tmpl w:val="85E40308"/>
    <w:lvl w:ilvl="0" w:tplc="4B8E1E70">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5"/>
  </w:num>
  <w:num w:numId="4">
    <w:abstractNumId w:val="16"/>
  </w:num>
  <w:num w:numId="5">
    <w:abstractNumId w:val="18"/>
  </w:num>
  <w:num w:numId="6">
    <w:abstractNumId w:val="4"/>
  </w:num>
  <w:num w:numId="7">
    <w:abstractNumId w:val="11"/>
  </w:num>
  <w:num w:numId="8">
    <w:abstractNumId w:val="7"/>
  </w:num>
  <w:num w:numId="9">
    <w:abstractNumId w:val="10"/>
  </w:num>
  <w:num w:numId="10">
    <w:abstractNumId w:val="19"/>
  </w:num>
  <w:num w:numId="11">
    <w:abstractNumId w:val="5"/>
  </w:num>
  <w:num w:numId="12">
    <w:abstractNumId w:val="17"/>
  </w:num>
  <w:num w:numId="13">
    <w:abstractNumId w:val="12"/>
  </w:num>
  <w:num w:numId="14">
    <w:abstractNumId w:val="3"/>
  </w:num>
  <w:num w:numId="15">
    <w:abstractNumId w:val="14"/>
  </w:num>
  <w:num w:numId="16">
    <w:abstractNumId w:val="2"/>
  </w:num>
  <w:num w:numId="17">
    <w:abstractNumId w:val="8"/>
  </w:num>
  <w:num w:numId="18">
    <w:abstractNumId w:val="0"/>
  </w:num>
  <w:num w:numId="19">
    <w:abstractNumId w:val="1"/>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F0267"/>
    <w:rsid w:val="000004B2"/>
    <w:rsid w:val="00013099"/>
    <w:rsid w:val="00084FE7"/>
    <w:rsid w:val="000A05E2"/>
    <w:rsid w:val="000A3A0A"/>
    <w:rsid w:val="000B192A"/>
    <w:rsid w:val="000C2492"/>
    <w:rsid w:val="000E4AF0"/>
    <w:rsid w:val="00131B2C"/>
    <w:rsid w:val="001D6ABA"/>
    <w:rsid w:val="001E2954"/>
    <w:rsid w:val="00205C55"/>
    <w:rsid w:val="00247A88"/>
    <w:rsid w:val="00253C4F"/>
    <w:rsid w:val="00284534"/>
    <w:rsid w:val="0029530E"/>
    <w:rsid w:val="002B6DD6"/>
    <w:rsid w:val="002E1E44"/>
    <w:rsid w:val="002F24FC"/>
    <w:rsid w:val="002F38C5"/>
    <w:rsid w:val="00307B6B"/>
    <w:rsid w:val="00330703"/>
    <w:rsid w:val="00341553"/>
    <w:rsid w:val="003442EA"/>
    <w:rsid w:val="003614E6"/>
    <w:rsid w:val="003702CE"/>
    <w:rsid w:val="00370968"/>
    <w:rsid w:val="00383C72"/>
    <w:rsid w:val="00386265"/>
    <w:rsid w:val="00397D8D"/>
    <w:rsid w:val="003B0A2B"/>
    <w:rsid w:val="003D2054"/>
    <w:rsid w:val="003E2854"/>
    <w:rsid w:val="003E5159"/>
    <w:rsid w:val="003E5456"/>
    <w:rsid w:val="003F0267"/>
    <w:rsid w:val="003F11DE"/>
    <w:rsid w:val="0040694D"/>
    <w:rsid w:val="00412852"/>
    <w:rsid w:val="004522E2"/>
    <w:rsid w:val="00486C1B"/>
    <w:rsid w:val="004A2242"/>
    <w:rsid w:val="004B49A0"/>
    <w:rsid w:val="004F0C7D"/>
    <w:rsid w:val="00504DB9"/>
    <w:rsid w:val="00544A52"/>
    <w:rsid w:val="0055559F"/>
    <w:rsid w:val="00556FF9"/>
    <w:rsid w:val="00590A91"/>
    <w:rsid w:val="0059233E"/>
    <w:rsid w:val="00593338"/>
    <w:rsid w:val="005B0A71"/>
    <w:rsid w:val="005B0BEC"/>
    <w:rsid w:val="005D2C42"/>
    <w:rsid w:val="005E36F1"/>
    <w:rsid w:val="005F4823"/>
    <w:rsid w:val="0060032E"/>
    <w:rsid w:val="0060568F"/>
    <w:rsid w:val="00606554"/>
    <w:rsid w:val="006251FF"/>
    <w:rsid w:val="006562C6"/>
    <w:rsid w:val="00660ACF"/>
    <w:rsid w:val="006807E2"/>
    <w:rsid w:val="00680D73"/>
    <w:rsid w:val="00683126"/>
    <w:rsid w:val="00691B39"/>
    <w:rsid w:val="00693C69"/>
    <w:rsid w:val="006A51FA"/>
    <w:rsid w:val="006B5FF3"/>
    <w:rsid w:val="006C00FC"/>
    <w:rsid w:val="006E156B"/>
    <w:rsid w:val="007263AF"/>
    <w:rsid w:val="007303FC"/>
    <w:rsid w:val="00734070"/>
    <w:rsid w:val="00740245"/>
    <w:rsid w:val="00770791"/>
    <w:rsid w:val="007765A3"/>
    <w:rsid w:val="00790292"/>
    <w:rsid w:val="007C1F56"/>
    <w:rsid w:val="007C5D58"/>
    <w:rsid w:val="0080114C"/>
    <w:rsid w:val="0081043F"/>
    <w:rsid w:val="008105AE"/>
    <w:rsid w:val="00843342"/>
    <w:rsid w:val="00850459"/>
    <w:rsid w:val="008656A5"/>
    <w:rsid w:val="00875F89"/>
    <w:rsid w:val="00887D8A"/>
    <w:rsid w:val="008A1E76"/>
    <w:rsid w:val="008A438C"/>
    <w:rsid w:val="008A5B13"/>
    <w:rsid w:val="008B69D1"/>
    <w:rsid w:val="008C2866"/>
    <w:rsid w:val="008C7332"/>
    <w:rsid w:val="008F7824"/>
    <w:rsid w:val="00902F97"/>
    <w:rsid w:val="00904C20"/>
    <w:rsid w:val="009064C3"/>
    <w:rsid w:val="00926456"/>
    <w:rsid w:val="009743BF"/>
    <w:rsid w:val="00984879"/>
    <w:rsid w:val="009E0219"/>
    <w:rsid w:val="009F3232"/>
    <w:rsid w:val="00A035E3"/>
    <w:rsid w:val="00A05BC9"/>
    <w:rsid w:val="00A22A72"/>
    <w:rsid w:val="00A53715"/>
    <w:rsid w:val="00A80600"/>
    <w:rsid w:val="00A8645E"/>
    <w:rsid w:val="00A930E9"/>
    <w:rsid w:val="00A97B50"/>
    <w:rsid w:val="00AC13E9"/>
    <w:rsid w:val="00AD73D6"/>
    <w:rsid w:val="00AE5494"/>
    <w:rsid w:val="00AF34A7"/>
    <w:rsid w:val="00AF62E9"/>
    <w:rsid w:val="00AF637E"/>
    <w:rsid w:val="00B22916"/>
    <w:rsid w:val="00B23812"/>
    <w:rsid w:val="00B2514C"/>
    <w:rsid w:val="00B645F5"/>
    <w:rsid w:val="00BA062A"/>
    <w:rsid w:val="00BC2E7F"/>
    <w:rsid w:val="00BD10E1"/>
    <w:rsid w:val="00BF49D0"/>
    <w:rsid w:val="00C00198"/>
    <w:rsid w:val="00C0722E"/>
    <w:rsid w:val="00C07AFA"/>
    <w:rsid w:val="00C14FCA"/>
    <w:rsid w:val="00C20394"/>
    <w:rsid w:val="00C24DD9"/>
    <w:rsid w:val="00C35E09"/>
    <w:rsid w:val="00C51C70"/>
    <w:rsid w:val="00C85E9F"/>
    <w:rsid w:val="00C915CB"/>
    <w:rsid w:val="00CA0264"/>
    <w:rsid w:val="00CA13D8"/>
    <w:rsid w:val="00CB30FA"/>
    <w:rsid w:val="00CD4A0F"/>
    <w:rsid w:val="00CD579D"/>
    <w:rsid w:val="00CD5AC6"/>
    <w:rsid w:val="00CE1167"/>
    <w:rsid w:val="00CF1FC9"/>
    <w:rsid w:val="00D173EB"/>
    <w:rsid w:val="00D25816"/>
    <w:rsid w:val="00D57840"/>
    <w:rsid w:val="00DA602A"/>
    <w:rsid w:val="00DD4989"/>
    <w:rsid w:val="00DD69AF"/>
    <w:rsid w:val="00DE3045"/>
    <w:rsid w:val="00DF7E56"/>
    <w:rsid w:val="00E02C1B"/>
    <w:rsid w:val="00E04941"/>
    <w:rsid w:val="00E065F0"/>
    <w:rsid w:val="00E17445"/>
    <w:rsid w:val="00E36F91"/>
    <w:rsid w:val="00E71F6A"/>
    <w:rsid w:val="00E74B2F"/>
    <w:rsid w:val="00E7724A"/>
    <w:rsid w:val="00E778DF"/>
    <w:rsid w:val="00E838AF"/>
    <w:rsid w:val="00EB6518"/>
    <w:rsid w:val="00F016DB"/>
    <w:rsid w:val="00F10589"/>
    <w:rsid w:val="00F17FBF"/>
    <w:rsid w:val="00F24DEC"/>
    <w:rsid w:val="00F34684"/>
    <w:rsid w:val="00F441AA"/>
    <w:rsid w:val="00F67142"/>
    <w:rsid w:val="00F67A51"/>
    <w:rsid w:val="00F77EF5"/>
    <w:rsid w:val="00F86734"/>
    <w:rsid w:val="00FA332A"/>
    <w:rsid w:val="00FE014E"/>
    <w:rsid w:val="00FF08C8"/>
    <w:rsid w:val="00FF1435"/>
  </w:rsids>
  <m:mathPr>
    <m:mathFont m:val="Lucida Grande"/>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40" w:line="320" w:lineRule="exac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33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CA0264"/>
    <w:pPr>
      <w:ind w:left="720"/>
      <w:contextualSpacing/>
    </w:pPr>
  </w:style>
  <w:style w:type="paragraph" w:styleId="Header">
    <w:name w:val="header"/>
    <w:basedOn w:val="Normal"/>
    <w:link w:val="HeaderChar"/>
    <w:uiPriority w:val="99"/>
    <w:semiHidden/>
    <w:unhideWhenUsed/>
    <w:rsid w:val="003702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02CE"/>
  </w:style>
  <w:style w:type="paragraph" w:styleId="Footer">
    <w:name w:val="footer"/>
    <w:basedOn w:val="Normal"/>
    <w:link w:val="FooterChar"/>
    <w:uiPriority w:val="99"/>
    <w:unhideWhenUsed/>
    <w:rsid w:val="00370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2CE"/>
  </w:style>
  <w:style w:type="character" w:styleId="Hyperlink">
    <w:name w:val="Hyperlink"/>
    <w:basedOn w:val="DefaultParagraphFont"/>
    <w:uiPriority w:val="99"/>
    <w:unhideWhenUsed/>
    <w:rsid w:val="0081043F"/>
    <w:rPr>
      <w:color w:val="0000FF" w:themeColor="hyperlink"/>
      <w:u w:val="single"/>
    </w:rPr>
  </w:style>
  <w:style w:type="character" w:styleId="FollowedHyperlink">
    <w:name w:val="FollowedHyperlink"/>
    <w:basedOn w:val="DefaultParagraphFont"/>
    <w:uiPriority w:val="99"/>
    <w:semiHidden/>
    <w:unhideWhenUsed/>
    <w:rsid w:val="0081043F"/>
    <w:rPr>
      <w:color w:val="800080" w:themeColor="followedHyperlink"/>
      <w:u w:val="single"/>
    </w:rPr>
  </w:style>
  <w:style w:type="paragraph" w:styleId="NoSpacing">
    <w:name w:val="No Spacing"/>
    <w:uiPriority w:val="1"/>
    <w:qFormat/>
    <w:rsid w:val="00CD4A0F"/>
    <w:pPr>
      <w:spacing w:after="0" w:line="240" w:lineRule="auto"/>
    </w:pPr>
    <w:rPr>
      <w:rFonts w:ascii="Calibri" w:eastAsia="Calibri" w:hAnsi="Calibri" w:cs="Times New Roman"/>
    </w:rPr>
  </w:style>
  <w:style w:type="paragraph" w:customStyle="1" w:styleId="freeform">
    <w:name w:val="freeform"/>
    <w:basedOn w:val="Normal"/>
    <w:rsid w:val="00F17FBF"/>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95321668">
      <w:bodyDiv w:val="1"/>
      <w:marLeft w:val="0"/>
      <w:marRight w:val="0"/>
      <w:marTop w:val="0"/>
      <w:marBottom w:val="0"/>
      <w:divBdr>
        <w:top w:val="none" w:sz="0" w:space="0" w:color="auto"/>
        <w:left w:val="none" w:sz="0" w:space="0" w:color="auto"/>
        <w:bottom w:val="none" w:sz="0" w:space="0" w:color="auto"/>
        <w:right w:val="none" w:sz="0" w:space="0" w:color="auto"/>
      </w:divBdr>
      <w:divsChild>
        <w:div w:id="2108425837">
          <w:marLeft w:val="0"/>
          <w:marRight w:val="0"/>
          <w:marTop w:val="0"/>
          <w:marBottom w:val="0"/>
          <w:divBdr>
            <w:top w:val="none" w:sz="0" w:space="0" w:color="auto"/>
            <w:left w:val="none" w:sz="0" w:space="0" w:color="auto"/>
            <w:bottom w:val="none" w:sz="0" w:space="0" w:color="auto"/>
            <w:right w:val="none" w:sz="0" w:space="0" w:color="auto"/>
          </w:divBdr>
          <w:divsChild>
            <w:div w:id="456802398">
              <w:marLeft w:val="0"/>
              <w:marRight w:val="0"/>
              <w:marTop w:val="0"/>
              <w:marBottom w:val="0"/>
              <w:divBdr>
                <w:top w:val="none" w:sz="0" w:space="0" w:color="auto"/>
                <w:left w:val="none" w:sz="0" w:space="0" w:color="auto"/>
                <w:bottom w:val="none" w:sz="0" w:space="0" w:color="auto"/>
                <w:right w:val="none" w:sz="0" w:space="0" w:color="auto"/>
              </w:divBdr>
              <w:divsChild>
                <w:div w:id="214510816">
                  <w:marLeft w:val="0"/>
                  <w:marRight w:val="0"/>
                  <w:marTop w:val="0"/>
                  <w:marBottom w:val="0"/>
                  <w:divBdr>
                    <w:top w:val="none" w:sz="0" w:space="0" w:color="auto"/>
                    <w:left w:val="none" w:sz="0" w:space="0" w:color="auto"/>
                    <w:bottom w:val="none" w:sz="0" w:space="0" w:color="auto"/>
                    <w:right w:val="none" w:sz="0" w:space="0" w:color="auto"/>
                  </w:divBdr>
                  <w:divsChild>
                    <w:div w:id="208884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409044">
      <w:bodyDiv w:val="1"/>
      <w:marLeft w:val="0"/>
      <w:marRight w:val="0"/>
      <w:marTop w:val="0"/>
      <w:marBottom w:val="0"/>
      <w:divBdr>
        <w:top w:val="none" w:sz="0" w:space="0" w:color="auto"/>
        <w:left w:val="none" w:sz="0" w:space="0" w:color="auto"/>
        <w:bottom w:val="none" w:sz="0" w:space="0" w:color="auto"/>
        <w:right w:val="none" w:sz="0" w:space="0" w:color="auto"/>
      </w:divBdr>
      <w:divsChild>
        <w:div w:id="1049066185">
          <w:marLeft w:val="0"/>
          <w:marRight w:val="0"/>
          <w:marTop w:val="0"/>
          <w:marBottom w:val="0"/>
          <w:divBdr>
            <w:top w:val="none" w:sz="0" w:space="0" w:color="auto"/>
            <w:left w:val="none" w:sz="0" w:space="0" w:color="auto"/>
            <w:bottom w:val="none" w:sz="0" w:space="0" w:color="auto"/>
            <w:right w:val="none" w:sz="0" w:space="0" w:color="auto"/>
          </w:divBdr>
          <w:divsChild>
            <w:div w:id="1929457055">
              <w:marLeft w:val="0"/>
              <w:marRight w:val="0"/>
              <w:marTop w:val="0"/>
              <w:marBottom w:val="0"/>
              <w:divBdr>
                <w:top w:val="none" w:sz="0" w:space="0" w:color="auto"/>
                <w:left w:val="none" w:sz="0" w:space="0" w:color="auto"/>
                <w:bottom w:val="none" w:sz="0" w:space="0" w:color="auto"/>
                <w:right w:val="none" w:sz="0" w:space="0" w:color="auto"/>
              </w:divBdr>
              <w:divsChild>
                <w:div w:id="1708213839">
                  <w:marLeft w:val="0"/>
                  <w:marRight w:val="0"/>
                  <w:marTop w:val="0"/>
                  <w:marBottom w:val="0"/>
                  <w:divBdr>
                    <w:top w:val="none" w:sz="0" w:space="0" w:color="auto"/>
                    <w:left w:val="none" w:sz="0" w:space="0" w:color="auto"/>
                    <w:bottom w:val="none" w:sz="0" w:space="0" w:color="auto"/>
                    <w:right w:val="none" w:sz="0" w:space="0" w:color="auto"/>
                  </w:divBdr>
                  <w:divsChild>
                    <w:div w:id="191261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234085">
      <w:bodyDiv w:val="1"/>
      <w:marLeft w:val="0"/>
      <w:marRight w:val="0"/>
      <w:marTop w:val="0"/>
      <w:marBottom w:val="0"/>
      <w:divBdr>
        <w:top w:val="none" w:sz="0" w:space="0" w:color="auto"/>
        <w:left w:val="none" w:sz="0" w:space="0" w:color="auto"/>
        <w:bottom w:val="none" w:sz="0" w:space="0" w:color="auto"/>
        <w:right w:val="none" w:sz="0" w:space="0" w:color="auto"/>
      </w:divBdr>
      <w:divsChild>
        <w:div w:id="591158627">
          <w:marLeft w:val="0"/>
          <w:marRight w:val="0"/>
          <w:marTop w:val="0"/>
          <w:marBottom w:val="0"/>
          <w:divBdr>
            <w:top w:val="none" w:sz="0" w:space="0" w:color="auto"/>
            <w:left w:val="none" w:sz="0" w:space="0" w:color="auto"/>
            <w:bottom w:val="none" w:sz="0" w:space="0" w:color="auto"/>
            <w:right w:val="none" w:sz="0" w:space="0" w:color="auto"/>
          </w:divBdr>
          <w:divsChild>
            <w:div w:id="1203598422">
              <w:marLeft w:val="0"/>
              <w:marRight w:val="0"/>
              <w:marTop w:val="0"/>
              <w:marBottom w:val="0"/>
              <w:divBdr>
                <w:top w:val="none" w:sz="0" w:space="0" w:color="auto"/>
                <w:left w:val="none" w:sz="0" w:space="0" w:color="auto"/>
                <w:bottom w:val="none" w:sz="0" w:space="0" w:color="auto"/>
                <w:right w:val="none" w:sz="0" w:space="0" w:color="auto"/>
              </w:divBdr>
              <w:divsChild>
                <w:div w:id="601299895">
                  <w:marLeft w:val="0"/>
                  <w:marRight w:val="0"/>
                  <w:marTop w:val="0"/>
                  <w:marBottom w:val="0"/>
                  <w:divBdr>
                    <w:top w:val="none" w:sz="0" w:space="0" w:color="auto"/>
                    <w:left w:val="none" w:sz="0" w:space="0" w:color="auto"/>
                    <w:bottom w:val="none" w:sz="0" w:space="0" w:color="auto"/>
                    <w:right w:val="none" w:sz="0" w:space="0" w:color="auto"/>
                  </w:divBdr>
                  <w:divsChild>
                    <w:div w:id="12382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79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1490-100D-4C49-8D60-7BF6C334D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1316</Words>
  <Characters>7504</Characters>
  <Application>Microsoft Macintosh Word</Application>
  <DocSecurity>0</DocSecurity>
  <Lines>62</Lines>
  <Paragraphs>15</Paragraphs>
  <ScaleCrop>false</ScaleCrop>
  <HeadingPairs>
    <vt:vector size="2" baseType="variant">
      <vt:variant>
        <vt:lpstr>Title</vt:lpstr>
      </vt:variant>
      <vt:variant>
        <vt:i4>1</vt:i4>
      </vt:variant>
    </vt:vector>
  </HeadingPairs>
  <TitlesOfParts>
    <vt:vector size="1" baseType="lpstr">
      <vt:lpstr>NACDNE 051810 Summary</vt:lpstr>
    </vt:vector>
  </TitlesOfParts>
  <Company>SMA</Company>
  <LinksUpToDate>false</LinksUpToDate>
  <CharactersWithSpaces>9215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NACDNE 051810 Summary</dc:title>
  <dc:creator>SMA</dc:creator>
  <cp:lastModifiedBy>Julie Conroy</cp:lastModifiedBy>
  <cp:revision>2</cp:revision>
  <cp:lastPrinted>2010-05-24T17:38:00Z</cp:lastPrinted>
  <dcterms:created xsi:type="dcterms:W3CDTF">2010-11-04T20:49:00Z</dcterms:created>
  <dcterms:modified xsi:type="dcterms:W3CDTF">2010-11-04T20:49:00Z</dcterms:modified>
</cp:coreProperties>
</file>